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Job Title</w:t>
            </w:r>
          </w:p>
        </w:tc>
        <w:tc>
          <w:tcPr>
            <w:tcW w:w="7671" w:type="dxa"/>
          </w:tcPr>
          <w:p w:rsidR="00B725A7" w:rsidRPr="002D0AED" w:rsidRDefault="00A54321" w:rsidP="00E20C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1F49">
              <w:rPr>
                <w:rFonts w:ascii="Arial" w:hAnsi="Arial" w:cs="Arial"/>
                <w:sz w:val="22"/>
                <w:szCs w:val="22"/>
              </w:rPr>
              <w:t>Personal Assistant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C5664">
              <w:rPr>
                <w:rFonts w:ascii="Arial" w:hAnsi="Arial" w:cs="Arial"/>
                <w:sz w:val="22"/>
                <w:szCs w:val="22"/>
              </w:rPr>
              <w:t xml:space="preserve"> (Support Workers)</w:t>
            </w:r>
            <w:r w:rsidRPr="00FB1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ED6">
              <w:rPr>
                <w:rFonts w:ascii="Arial" w:hAnsi="Arial" w:cs="Arial"/>
                <w:sz w:val="22"/>
                <w:szCs w:val="22"/>
              </w:rPr>
              <w:t>Ref: PA/JT/03/16</w:t>
            </w:r>
            <w:bookmarkStart w:id="0" w:name="_GoBack"/>
            <w:bookmarkEnd w:id="0"/>
          </w:p>
        </w:tc>
      </w:tr>
      <w:tr w:rsidR="00B725A7" w:rsidRPr="007B2713" w:rsidTr="00B725A7">
        <w:tc>
          <w:tcPr>
            <w:tcW w:w="2340" w:type="dxa"/>
          </w:tcPr>
          <w:p w:rsidR="00B725A7" w:rsidRPr="002748B1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 w:rsidRPr="002748B1">
              <w:rPr>
                <w:rFonts w:ascii="Arial" w:hAnsi="Arial" w:cs="Arial"/>
                <w:color w:val="auto"/>
                <w:sz w:val="24"/>
              </w:rPr>
              <w:t>Salary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£15,404 pro rata (FTE 39 hours)</w:t>
            </w:r>
            <w:r w:rsidR="000C7412">
              <w:rPr>
                <w:rFonts w:ascii="Arial" w:hAnsi="Arial" w:cs="Arial"/>
                <w:sz w:val="22"/>
                <w:szCs w:val="22"/>
              </w:rPr>
              <w:t xml:space="preserve"> (£7.60 per hour)</w:t>
            </w:r>
          </w:p>
        </w:tc>
      </w:tr>
      <w:tr w:rsidR="000C7412" w:rsidRPr="007B2713" w:rsidTr="00B725A7">
        <w:tc>
          <w:tcPr>
            <w:tcW w:w="2340" w:type="dxa"/>
          </w:tcPr>
          <w:p w:rsidR="000C7412" w:rsidRPr="002748B1" w:rsidRDefault="000C7412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Sleepovers</w:t>
            </w:r>
          </w:p>
        </w:tc>
        <w:tc>
          <w:tcPr>
            <w:tcW w:w="7671" w:type="dxa"/>
          </w:tcPr>
          <w:p w:rsidR="000C7412" w:rsidRDefault="000C7412" w:rsidP="005462E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462E2">
              <w:rPr>
                <w:rFonts w:ascii="Arial" w:hAnsi="Arial" w:cs="Arial"/>
                <w:sz w:val="22"/>
                <w:szCs w:val="22"/>
              </w:rPr>
              <w:t>60.40</w:t>
            </w:r>
            <w:r>
              <w:rPr>
                <w:rFonts w:ascii="Arial" w:hAnsi="Arial" w:cs="Arial"/>
                <w:sz w:val="22"/>
                <w:szCs w:val="22"/>
              </w:rPr>
              <w:t xml:space="preserve"> per sleepover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Hours</w:t>
            </w:r>
          </w:p>
        </w:tc>
        <w:tc>
          <w:tcPr>
            <w:tcW w:w="7671" w:type="dxa"/>
          </w:tcPr>
          <w:p w:rsidR="004B35C0" w:rsidRDefault="00FC6108" w:rsidP="00A54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hours per week.</w:t>
            </w:r>
            <w:r w:rsidR="002817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Regular daytimes Monday to Friday and Saturday evenings.</w:t>
            </w:r>
          </w:p>
          <w:p w:rsidR="00B725A7" w:rsidRPr="002D0AED" w:rsidRDefault="00281762" w:rsidP="00A543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is essential and you should be able to work shifts including evenings and weekends</w:t>
            </w:r>
            <w:r w:rsidR="00FC6108">
              <w:rPr>
                <w:rFonts w:ascii="Arial" w:hAnsi="Arial" w:cs="Arial"/>
                <w:sz w:val="22"/>
                <w:szCs w:val="22"/>
              </w:rPr>
              <w:t xml:space="preserve"> and occasional sleepovers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Duration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Permanent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Location</w:t>
            </w:r>
          </w:p>
        </w:tc>
        <w:tc>
          <w:tcPr>
            <w:tcW w:w="7671" w:type="dxa"/>
          </w:tcPr>
          <w:p w:rsidR="00B725A7" w:rsidRPr="002D0AED" w:rsidRDefault="00BC5664" w:rsidP="001264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Newton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Mearns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 East Renfrewshire</w:t>
            </w:r>
          </w:p>
        </w:tc>
      </w:tr>
      <w:tr w:rsidR="00B725A7" w:rsidRPr="007B2713" w:rsidTr="00B725A7">
        <w:trPr>
          <w:trHeight w:val="620"/>
        </w:trPr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Closing Date</w:t>
            </w:r>
          </w:p>
        </w:tc>
        <w:tc>
          <w:tcPr>
            <w:tcW w:w="7671" w:type="dxa"/>
          </w:tcPr>
          <w:p w:rsidR="00B725A7" w:rsidRPr="002D0AED" w:rsidRDefault="005462E2" w:rsidP="00B8687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Friday 2</w:t>
            </w:r>
            <w:r w:rsidRPr="005462E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September 2016 </w:t>
            </w:r>
            <w:r w:rsidR="000C741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B35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Contact</w:t>
            </w:r>
          </w:p>
        </w:tc>
        <w:tc>
          <w:tcPr>
            <w:tcW w:w="7671" w:type="dxa"/>
          </w:tcPr>
          <w:p w:rsidR="00B725A7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</w:p>
          <w:p w:rsidR="00B725A7" w:rsidRDefault="00A05565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725A7" w:rsidRPr="00EF646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http://www.thistle.org.uk/ways-you-can-help/work-with-us</w:t>
              </w:r>
            </w:hyperlink>
          </w:p>
          <w:p w:rsidR="00B725A7" w:rsidRPr="002D0AED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31199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link below will take you to our recruitment website where you can complete an application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hyperlink r:id="rId9" w:history="1">
              <w:r w:rsidRPr="00EF6465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http://jobs.thistle.org.uk</w:t>
              </w:r>
            </w:hyperlink>
            <w:r w:rsidRPr="00F846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Important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D0AED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</w:tc>
      </w:tr>
    </w:tbl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A54321" w:rsidRPr="00F9411E" w:rsidTr="00A5432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BB6FAF">
            <w:pPr>
              <w:ind w:left="100" w:hanging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Assistant</w:t>
            </w:r>
            <w:r w:rsidR="0028176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54321" w:rsidRDefault="00A54321" w:rsidP="00BB6FAF">
            <w:pPr>
              <w:rPr>
                <w:rFonts w:ascii="Arial" w:hAnsi="Arial" w:cs="Arial"/>
                <w:b/>
              </w:rPr>
            </w:pPr>
          </w:p>
          <w:p w:rsidR="00A54321" w:rsidRDefault="00A54321" w:rsidP="00BB6FAF">
            <w:pPr>
              <w:ind w:left="100" w:hanging="66"/>
              <w:rPr>
                <w:rFonts w:ascii="Arial" w:hAnsi="Arial"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A" w:rsidRDefault="00B44ABA" w:rsidP="00BC5664">
            <w:pPr>
              <w:rPr>
                <w:rFonts w:ascii="Arial" w:hAnsi="Arial" w:cs="Arial"/>
                <w:sz w:val="22"/>
                <w:szCs w:val="22"/>
              </w:rPr>
            </w:pPr>
            <w:r w:rsidRPr="00B44ABA">
              <w:rPr>
                <w:rFonts w:ascii="Arial" w:hAnsi="Arial" w:cs="Arial"/>
                <w:sz w:val="22"/>
                <w:szCs w:val="22"/>
              </w:rPr>
              <w:t xml:space="preserve">We have vacancies for personal assistants </w:t>
            </w:r>
            <w:r w:rsidR="00BC5664">
              <w:rPr>
                <w:rFonts w:ascii="Arial" w:hAnsi="Arial" w:cs="Arial"/>
                <w:sz w:val="22"/>
                <w:szCs w:val="22"/>
              </w:rPr>
              <w:t xml:space="preserve">(support workers) </w:t>
            </w:r>
            <w:r w:rsidRPr="00B44ABA">
              <w:rPr>
                <w:rFonts w:ascii="Arial" w:hAnsi="Arial" w:cs="Arial"/>
                <w:sz w:val="22"/>
                <w:szCs w:val="22"/>
              </w:rPr>
              <w:t xml:space="preserve">to support a </w:t>
            </w:r>
            <w:r w:rsidR="00BC5664">
              <w:rPr>
                <w:rFonts w:ascii="Arial" w:hAnsi="Arial" w:cs="Arial"/>
                <w:sz w:val="22"/>
                <w:szCs w:val="22"/>
              </w:rPr>
              <w:t>young man in his early</w:t>
            </w:r>
            <w:r w:rsidRPr="00B44A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64">
              <w:rPr>
                <w:rFonts w:ascii="Arial" w:hAnsi="Arial" w:cs="Arial"/>
                <w:sz w:val="22"/>
                <w:szCs w:val="22"/>
              </w:rPr>
              <w:t xml:space="preserve">20s </w:t>
            </w:r>
            <w:r w:rsidRPr="00B44ABA">
              <w:rPr>
                <w:rFonts w:ascii="Arial" w:hAnsi="Arial" w:cs="Arial"/>
                <w:sz w:val="22"/>
                <w:szCs w:val="22"/>
              </w:rPr>
              <w:t xml:space="preserve">who has cerebral palsy and lives </w:t>
            </w:r>
            <w:r w:rsidR="00BC5664">
              <w:rPr>
                <w:rFonts w:ascii="Arial" w:hAnsi="Arial" w:cs="Arial"/>
                <w:sz w:val="22"/>
                <w:szCs w:val="22"/>
              </w:rPr>
              <w:t xml:space="preserve">with his parents in Newton </w:t>
            </w:r>
            <w:proofErr w:type="spellStart"/>
            <w:r w:rsidR="00BC5664">
              <w:rPr>
                <w:rFonts w:ascii="Arial" w:hAnsi="Arial" w:cs="Arial"/>
                <w:sz w:val="22"/>
                <w:szCs w:val="22"/>
              </w:rPr>
              <w:t>Mearns</w:t>
            </w:r>
            <w:proofErr w:type="spellEnd"/>
            <w:r w:rsidR="00BC56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5664" w:rsidRDefault="00BC5664" w:rsidP="00BC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664" w:rsidRDefault="00BC5664" w:rsidP="00BC56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 has a wicked sense of humour and loves eating out and going for coffee.</w:t>
            </w:r>
          </w:p>
          <w:p w:rsidR="00BC5664" w:rsidRDefault="00BC5664" w:rsidP="00BC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46275E" w:rsidRDefault="00BC5664" w:rsidP="00BC56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You’ll need to be able to drive as he loves getting out and about</w:t>
            </w:r>
            <w:r w:rsidR="00DE4C42">
              <w:rPr>
                <w:rFonts w:ascii="Arial" w:hAnsi="Arial" w:cs="Arial"/>
                <w:sz w:val="22"/>
                <w:szCs w:val="22"/>
              </w:rPr>
              <w:t xml:space="preserve"> in his own car</w:t>
            </w:r>
            <w:r>
              <w:rPr>
                <w:rFonts w:ascii="Arial" w:hAnsi="Arial" w:cs="Arial"/>
                <w:sz w:val="22"/>
                <w:szCs w:val="22"/>
              </w:rPr>
              <w:t>, and also goes to college in Coatbridge twice a week</w:t>
            </w:r>
            <w:r w:rsidR="00DE4C42">
              <w:rPr>
                <w:rFonts w:ascii="Arial" w:hAnsi="Arial" w:cs="Arial"/>
                <w:sz w:val="22"/>
                <w:szCs w:val="22"/>
              </w:rPr>
              <w:t xml:space="preserve"> which you will also support with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275E" w:rsidRDefault="0046275E" w:rsidP="00BC566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EE1" w:rsidRDefault="0046275E" w:rsidP="006C6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 real passion is American country and Scottish/Irish traditional folk music.  Getting out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 live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gigs is therefore an important part of his life.  At the weekend he loves to go to the pub and socialise with his friends.  </w:t>
            </w:r>
          </w:p>
          <w:p w:rsidR="006C6DBB" w:rsidRDefault="006C6DBB" w:rsidP="006C6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BA" w:rsidRPr="00941EE1" w:rsidRDefault="00B44ABA" w:rsidP="004627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ABA">
              <w:rPr>
                <w:rFonts w:ascii="Arial" w:hAnsi="Arial" w:cs="Arial"/>
                <w:sz w:val="22"/>
                <w:szCs w:val="22"/>
              </w:rPr>
              <w:t xml:space="preserve">You will require good communication and social skills to work effectively with </w:t>
            </w:r>
            <w:r w:rsidR="00CB0095">
              <w:rPr>
                <w:rFonts w:ascii="Arial" w:hAnsi="Arial" w:cs="Arial"/>
                <w:sz w:val="22"/>
                <w:szCs w:val="22"/>
              </w:rPr>
              <w:t>his</w:t>
            </w:r>
            <w:r w:rsidRPr="00B44ABA">
              <w:rPr>
                <w:rFonts w:ascii="Arial" w:hAnsi="Arial" w:cs="Arial"/>
                <w:sz w:val="22"/>
                <w:szCs w:val="22"/>
              </w:rPr>
              <w:t xml:space="preserve"> family and other members of a small dedicated team.</w:t>
            </w:r>
            <w:r w:rsidRPr="00B44A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41EE1">
              <w:rPr>
                <w:rFonts w:ascii="Arial" w:hAnsi="Arial" w:cs="Arial"/>
                <w:sz w:val="22"/>
                <w:szCs w:val="22"/>
              </w:rPr>
              <w:t>You should also be able to help with personal care.</w:t>
            </w:r>
          </w:p>
          <w:p w:rsidR="00A54321" w:rsidRDefault="00A54321" w:rsidP="00BB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BB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BB6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0C7412" w:rsidP="0046275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321" w:rsidRDefault="0046275E" w:rsidP="00462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="00A54321" w:rsidRPr="00FB1F49">
              <w:rPr>
                <w:rFonts w:ascii="Arial" w:hAnsi="Arial" w:cs="Arial"/>
                <w:sz w:val="22"/>
                <w:szCs w:val="22"/>
              </w:rPr>
              <w:t xml:space="preserve"> must have, or be willing to work towards a qualification meeting the standards required for registration with the Scottish Social Services Council.</w:t>
            </w:r>
          </w:p>
          <w:p w:rsidR="006C6DBB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B1F49">
              <w:rPr>
                <w:rFonts w:ascii="Arial" w:hAnsi="Arial" w:cs="Arial"/>
                <w:sz w:val="22"/>
                <w:szCs w:val="22"/>
              </w:rPr>
              <w:t xml:space="preserve">n return you will have the satisfaction of working for an organisation at the </w:t>
            </w:r>
          </w:p>
          <w:p w:rsidR="00A54321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1F49">
              <w:rPr>
                <w:rFonts w:ascii="Arial" w:hAnsi="Arial" w:cs="Arial"/>
                <w:sz w:val="22"/>
                <w:szCs w:val="22"/>
              </w:rPr>
              <w:t>cutting</w:t>
            </w:r>
            <w:proofErr w:type="gramEnd"/>
            <w:r w:rsidRPr="00FB1F49">
              <w:rPr>
                <w:rFonts w:ascii="Arial" w:hAnsi="Arial" w:cs="Arial"/>
                <w:sz w:val="22"/>
                <w:szCs w:val="22"/>
              </w:rPr>
              <w:t xml:space="preserve"> edge of designing individualised support arrangements that make a real difference to people’s lives.  On top of this, Thistle Foundation provides excellent training and other benefits such</w:t>
            </w:r>
            <w:r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Pr="00FB1F49">
              <w:rPr>
                <w:rFonts w:ascii="Arial" w:hAnsi="Arial" w:cs="Arial"/>
                <w:sz w:val="22"/>
                <w:szCs w:val="22"/>
              </w:rPr>
              <w:t xml:space="preserve"> childcare voucher scheme and many others.</w:t>
            </w:r>
          </w:p>
          <w:p w:rsidR="00A54321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4321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Thistle Foundation is an Equal Opportunities Employer. </w:t>
            </w:r>
            <w:r w:rsidRPr="002362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4321" w:rsidRDefault="00A54321" w:rsidP="00BB6FAF">
            <w:pPr>
              <w:tabs>
                <w:tab w:val="left" w:pos="-360"/>
              </w:tabs>
              <w:rPr>
                <w:rFonts w:ascii="Arial" w:hAnsi="Arial" w:cs="Arial"/>
              </w:rPr>
            </w:pPr>
          </w:p>
          <w:p w:rsidR="00A54321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 w:rsidRPr="00236208">
              <w:rPr>
                <w:rFonts w:ascii="Arial" w:hAnsi="Arial" w:cs="Arial"/>
                <w:sz w:val="22"/>
                <w:szCs w:val="22"/>
              </w:rPr>
              <w:t>Successful applicants will be subject to a PVG check</w:t>
            </w:r>
            <w:r>
              <w:rPr>
                <w:rFonts w:ascii="Arial" w:hAnsi="Arial" w:cs="Arial"/>
                <w:sz w:val="22"/>
                <w:szCs w:val="22"/>
              </w:rPr>
              <w:t xml:space="preserve">, which will be paid for by Thistle. </w:t>
            </w:r>
          </w:p>
          <w:p w:rsidR="00A54321" w:rsidRPr="00236208" w:rsidRDefault="00A54321" w:rsidP="00BB6FAF">
            <w:pPr>
              <w:tabs>
                <w:tab w:val="left" w:pos="-360"/>
              </w:tabs>
              <w:rPr>
                <w:rFonts w:ascii="Arial" w:hAnsi="Arial" w:cs="Arial"/>
              </w:rPr>
            </w:pPr>
          </w:p>
          <w:p w:rsidR="00A54321" w:rsidRPr="00F9411E" w:rsidRDefault="00A54321" w:rsidP="00BB6FA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 THAT CV’S WILL NOT BE ACCEPTED AS AN APPLICATION               </w:t>
            </w:r>
          </w:p>
        </w:tc>
      </w:tr>
    </w:tbl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Pr="00B951EF" w:rsidRDefault="00B725A7" w:rsidP="00B725A7">
      <w:pPr>
        <w:pStyle w:val="NfpHeading8"/>
        <w:jc w:val="center"/>
        <w:rPr>
          <w:rFonts w:ascii="Arial" w:hAnsi="Arial" w:cs="Arial"/>
          <w:color w:val="auto"/>
          <w:sz w:val="24"/>
        </w:rPr>
      </w:pPr>
    </w:p>
    <w:p w:rsidR="00B725A7" w:rsidRDefault="00B725A7" w:rsidP="00B725A7"/>
    <w:p w:rsidR="00215868" w:rsidRPr="009F06B8" w:rsidRDefault="00215868" w:rsidP="007631DE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65" w:rsidRDefault="00A05565">
      <w:r>
        <w:separator/>
      </w:r>
    </w:p>
  </w:endnote>
  <w:endnote w:type="continuationSeparator" w:id="0">
    <w:p w:rsidR="00A05565" w:rsidRDefault="00A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Default="00480F6B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12" w:rsidRDefault="000C7412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Pr="006C28EF" w:rsidRDefault="000C7412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66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412" w:rsidRDefault="000C74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65" w:rsidRDefault="00A05565">
      <w:r>
        <w:separator/>
      </w:r>
    </w:p>
  </w:footnote>
  <w:footnote w:type="continuationSeparator" w:id="0">
    <w:p w:rsidR="00A05565" w:rsidRDefault="00A0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Pr="00644EAA" w:rsidRDefault="000C7412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6EAC"/>
    <w:rsid w:val="000424C6"/>
    <w:rsid w:val="00045848"/>
    <w:rsid w:val="00057E3E"/>
    <w:rsid w:val="000651EE"/>
    <w:rsid w:val="000B0EBE"/>
    <w:rsid w:val="000C23A1"/>
    <w:rsid w:val="000C29A0"/>
    <w:rsid w:val="000C7412"/>
    <w:rsid w:val="000D1C4C"/>
    <w:rsid w:val="000E5870"/>
    <w:rsid w:val="00114F2A"/>
    <w:rsid w:val="001264D6"/>
    <w:rsid w:val="00146D7B"/>
    <w:rsid w:val="00154072"/>
    <w:rsid w:val="0015681B"/>
    <w:rsid w:val="0016282A"/>
    <w:rsid w:val="0019472B"/>
    <w:rsid w:val="00196ED6"/>
    <w:rsid w:val="001B38D4"/>
    <w:rsid w:val="00214AF8"/>
    <w:rsid w:val="00215868"/>
    <w:rsid w:val="00222211"/>
    <w:rsid w:val="002405A3"/>
    <w:rsid w:val="00243C63"/>
    <w:rsid w:val="002444C7"/>
    <w:rsid w:val="00281762"/>
    <w:rsid w:val="002E2D41"/>
    <w:rsid w:val="002E4E13"/>
    <w:rsid w:val="002F7C04"/>
    <w:rsid w:val="00374880"/>
    <w:rsid w:val="0038015B"/>
    <w:rsid w:val="00380A67"/>
    <w:rsid w:val="003970C3"/>
    <w:rsid w:val="00401571"/>
    <w:rsid w:val="00403F7A"/>
    <w:rsid w:val="00417615"/>
    <w:rsid w:val="00417AB8"/>
    <w:rsid w:val="00430022"/>
    <w:rsid w:val="00443351"/>
    <w:rsid w:val="0046275E"/>
    <w:rsid w:val="00480F6B"/>
    <w:rsid w:val="004B35C0"/>
    <w:rsid w:val="004D4B11"/>
    <w:rsid w:val="004D54C8"/>
    <w:rsid w:val="00522586"/>
    <w:rsid w:val="00530E23"/>
    <w:rsid w:val="00535846"/>
    <w:rsid w:val="005462E2"/>
    <w:rsid w:val="00570A7D"/>
    <w:rsid w:val="00593BDD"/>
    <w:rsid w:val="005D4A34"/>
    <w:rsid w:val="005E0432"/>
    <w:rsid w:val="00604DF8"/>
    <w:rsid w:val="0061587F"/>
    <w:rsid w:val="006549DD"/>
    <w:rsid w:val="0065510B"/>
    <w:rsid w:val="00671D35"/>
    <w:rsid w:val="00686DD3"/>
    <w:rsid w:val="00695AC8"/>
    <w:rsid w:val="006C6DBB"/>
    <w:rsid w:val="006E36D7"/>
    <w:rsid w:val="006F4DEB"/>
    <w:rsid w:val="006F5BA1"/>
    <w:rsid w:val="00703304"/>
    <w:rsid w:val="00762A79"/>
    <w:rsid w:val="007631DE"/>
    <w:rsid w:val="00766A2B"/>
    <w:rsid w:val="00777264"/>
    <w:rsid w:val="00780DE0"/>
    <w:rsid w:val="007D7A41"/>
    <w:rsid w:val="007F0D57"/>
    <w:rsid w:val="007F1327"/>
    <w:rsid w:val="007F5DCE"/>
    <w:rsid w:val="008027C6"/>
    <w:rsid w:val="00816710"/>
    <w:rsid w:val="00817D5B"/>
    <w:rsid w:val="00853B75"/>
    <w:rsid w:val="0085518E"/>
    <w:rsid w:val="008747B0"/>
    <w:rsid w:val="008B3D69"/>
    <w:rsid w:val="008E0DD8"/>
    <w:rsid w:val="008E3FCA"/>
    <w:rsid w:val="008E7959"/>
    <w:rsid w:val="008F74E3"/>
    <w:rsid w:val="0091145A"/>
    <w:rsid w:val="00941EE1"/>
    <w:rsid w:val="00960E69"/>
    <w:rsid w:val="00976176"/>
    <w:rsid w:val="00996F1E"/>
    <w:rsid w:val="009A1DF2"/>
    <w:rsid w:val="009C349B"/>
    <w:rsid w:val="009D3C7F"/>
    <w:rsid w:val="009F06B8"/>
    <w:rsid w:val="00A05565"/>
    <w:rsid w:val="00A20AE0"/>
    <w:rsid w:val="00A312EA"/>
    <w:rsid w:val="00A46F31"/>
    <w:rsid w:val="00A54321"/>
    <w:rsid w:val="00A84124"/>
    <w:rsid w:val="00A95A22"/>
    <w:rsid w:val="00AA79EB"/>
    <w:rsid w:val="00AC1167"/>
    <w:rsid w:val="00AC36D7"/>
    <w:rsid w:val="00AD6792"/>
    <w:rsid w:val="00B17D5C"/>
    <w:rsid w:val="00B318D5"/>
    <w:rsid w:val="00B44ABA"/>
    <w:rsid w:val="00B45026"/>
    <w:rsid w:val="00B725A7"/>
    <w:rsid w:val="00B7526B"/>
    <w:rsid w:val="00B7630C"/>
    <w:rsid w:val="00B8079C"/>
    <w:rsid w:val="00B86877"/>
    <w:rsid w:val="00BB6FAF"/>
    <w:rsid w:val="00BC105D"/>
    <w:rsid w:val="00BC5664"/>
    <w:rsid w:val="00BD6D40"/>
    <w:rsid w:val="00C3608B"/>
    <w:rsid w:val="00C60122"/>
    <w:rsid w:val="00C6042E"/>
    <w:rsid w:val="00C630BA"/>
    <w:rsid w:val="00C83944"/>
    <w:rsid w:val="00C859D5"/>
    <w:rsid w:val="00CA21E5"/>
    <w:rsid w:val="00CB0095"/>
    <w:rsid w:val="00CB78F5"/>
    <w:rsid w:val="00CB7ACA"/>
    <w:rsid w:val="00CC7001"/>
    <w:rsid w:val="00CD1A4B"/>
    <w:rsid w:val="00CE7342"/>
    <w:rsid w:val="00CF6EDC"/>
    <w:rsid w:val="00D278DD"/>
    <w:rsid w:val="00D3750C"/>
    <w:rsid w:val="00D56D9E"/>
    <w:rsid w:val="00DA5705"/>
    <w:rsid w:val="00DA6F72"/>
    <w:rsid w:val="00DE24A4"/>
    <w:rsid w:val="00DE4C42"/>
    <w:rsid w:val="00E20C20"/>
    <w:rsid w:val="00E2378C"/>
    <w:rsid w:val="00E40EC8"/>
    <w:rsid w:val="00E46FDD"/>
    <w:rsid w:val="00E5369B"/>
    <w:rsid w:val="00E7425B"/>
    <w:rsid w:val="00EE12CA"/>
    <w:rsid w:val="00EE38F1"/>
    <w:rsid w:val="00F02A34"/>
    <w:rsid w:val="00F076DE"/>
    <w:rsid w:val="00F22F03"/>
    <w:rsid w:val="00F42349"/>
    <w:rsid w:val="00F51E5D"/>
    <w:rsid w:val="00F558AC"/>
    <w:rsid w:val="00F74B94"/>
    <w:rsid w:val="00FA47C0"/>
    <w:rsid w:val="00FB515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customStyle="1" w:styleId="Default">
    <w:name w:val="Default"/>
    <w:rsid w:val="00B72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customStyle="1" w:styleId="Default">
    <w:name w:val="Default"/>
    <w:rsid w:val="00B72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tle.org.uk/ways-you-can-help/work-with-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bs.thistl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AC2F-FC17-4126-8C75-C8D6CA9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4</cp:revision>
  <cp:lastPrinted>2016-01-21T07:56:00Z</cp:lastPrinted>
  <dcterms:created xsi:type="dcterms:W3CDTF">2016-08-10T07:53:00Z</dcterms:created>
  <dcterms:modified xsi:type="dcterms:W3CDTF">2016-08-11T13:27:00Z</dcterms:modified>
</cp:coreProperties>
</file>